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73" w:type="dxa"/>
        <w:tblLayout w:type="fixed"/>
        <w:tblLook w:val="04A0" w:firstRow="1" w:lastRow="0" w:firstColumn="1" w:lastColumn="0" w:noHBand="0" w:noVBand="1"/>
      </w:tblPr>
      <w:tblGrid>
        <w:gridCol w:w="3398"/>
        <w:gridCol w:w="7375"/>
      </w:tblGrid>
      <w:tr w:rsidR="00692FED" w:rsidRPr="00A33E5D" w:rsidTr="003600EC">
        <w:tc>
          <w:tcPr>
            <w:tcW w:w="10773" w:type="dxa"/>
            <w:gridSpan w:val="2"/>
            <w:shd w:val="clear" w:color="auto" w:fill="000000" w:themeFill="text1"/>
          </w:tcPr>
          <w:p w:rsidR="00692FED" w:rsidRPr="00A33E5D" w:rsidRDefault="00692FED" w:rsidP="00BB23D0">
            <w:pPr>
              <w:rPr>
                <w:b/>
              </w:rPr>
            </w:pPr>
            <w:r w:rsidRPr="00A33E5D">
              <w:rPr>
                <w:b/>
              </w:rPr>
              <w:t>Topic  1</w:t>
            </w:r>
            <w:r>
              <w:rPr>
                <w:b/>
              </w:rPr>
              <w:t>: Numbers</w:t>
            </w:r>
          </w:p>
        </w:tc>
      </w:tr>
      <w:tr w:rsidR="00692FED" w:rsidRPr="00A33E5D" w:rsidTr="003600EC">
        <w:tc>
          <w:tcPr>
            <w:tcW w:w="10773" w:type="dxa"/>
            <w:gridSpan w:val="2"/>
            <w:shd w:val="clear" w:color="auto" w:fill="000000" w:themeFill="text1"/>
          </w:tcPr>
          <w:p w:rsidR="00692FED" w:rsidRPr="00A33E5D" w:rsidRDefault="00692FED" w:rsidP="00BB23D0">
            <w:pPr>
              <w:rPr>
                <w:b/>
              </w:rPr>
            </w:pPr>
            <w:proofErr w:type="spellStart"/>
            <w:r w:rsidRPr="00A33E5D">
              <w:rPr>
                <w:b/>
              </w:rPr>
              <w:t>AusVELS</w:t>
            </w:r>
            <w:proofErr w:type="spellEnd"/>
            <w:r>
              <w:rPr>
                <w:b/>
              </w:rPr>
              <w:t>: MNA</w:t>
            </w:r>
          </w:p>
        </w:tc>
      </w:tr>
      <w:tr w:rsidR="00692FED" w:rsidRPr="00A33E5D" w:rsidTr="003600EC">
        <w:tc>
          <w:tcPr>
            <w:tcW w:w="3398" w:type="dxa"/>
            <w:shd w:val="clear" w:color="auto" w:fill="FFFFFF" w:themeFill="background1"/>
          </w:tcPr>
          <w:p w:rsidR="00692FED" w:rsidRPr="00B3733D" w:rsidRDefault="00692FED" w:rsidP="00BB23D0">
            <w:pPr>
              <w:rPr>
                <w:rFonts w:cs="Arial"/>
                <w:color w:val="333333"/>
              </w:rPr>
            </w:pPr>
            <w:r w:rsidRPr="00C06A11">
              <w:rPr>
                <w:rFonts w:cs="Arial"/>
                <w:color w:val="333333"/>
              </w:rPr>
              <w:t xml:space="preserve">Investigate </w:t>
            </w:r>
            <w:r w:rsidRPr="00B3733D">
              <w:t>index</w:t>
            </w:r>
            <w:r w:rsidRPr="00C06A11">
              <w:rPr>
                <w:rFonts w:cs="Arial"/>
                <w:color w:val="333333"/>
              </w:rPr>
              <w:t xml:space="preserve"> notation and represent whole numbers as products of powers of prime numbers</w:t>
            </w:r>
          </w:p>
        </w:tc>
        <w:tc>
          <w:tcPr>
            <w:tcW w:w="7375" w:type="dxa"/>
            <w:shd w:val="clear" w:color="auto" w:fill="FFFFFF" w:themeFill="background1"/>
          </w:tcPr>
          <w:p w:rsidR="00692FED" w:rsidRPr="00F11898" w:rsidRDefault="00692FED" w:rsidP="00692FED">
            <w:pPr>
              <w:pStyle w:val="NoSpacing"/>
              <w:numPr>
                <w:ilvl w:val="0"/>
                <w:numId w:val="1"/>
              </w:numPr>
              <w:ind w:left="317" w:hanging="284"/>
              <w:rPr>
                <w:lang w:eastAsia="en-AU"/>
              </w:rPr>
            </w:pPr>
            <w:r w:rsidRPr="00CB1CAA">
              <w:rPr>
                <w:lang w:eastAsia="en-AU"/>
              </w:rPr>
              <w:t>defining and comparing prime and composite numbers and explaining the difference between them</w:t>
            </w:r>
          </w:p>
        </w:tc>
      </w:tr>
      <w:tr w:rsidR="00692FED" w:rsidRPr="00A33E5D" w:rsidTr="003600EC">
        <w:tc>
          <w:tcPr>
            <w:tcW w:w="3398" w:type="dxa"/>
            <w:vMerge w:val="restart"/>
            <w:shd w:val="clear" w:color="auto" w:fill="FFFFFF" w:themeFill="background1"/>
          </w:tcPr>
          <w:p w:rsidR="00692FED" w:rsidRPr="00A33E5D" w:rsidRDefault="00692FED" w:rsidP="00BB23D0">
            <w:pPr>
              <w:rPr>
                <w:b/>
              </w:rPr>
            </w:pPr>
            <w:bookmarkStart w:id="0" w:name="_GoBack"/>
            <w:bookmarkEnd w:id="0"/>
            <w:r w:rsidRPr="00CB1CAA">
              <w:rPr>
                <w:rFonts w:cs="Arial"/>
                <w:color w:val="333333"/>
              </w:rPr>
              <w:t xml:space="preserve">Investigate and use </w:t>
            </w:r>
            <w:r w:rsidRPr="00CB1CAA">
              <w:t>square</w:t>
            </w:r>
            <w:r w:rsidRPr="00CB1CAA">
              <w:rPr>
                <w:rFonts w:cs="Arial"/>
                <w:color w:val="333333"/>
              </w:rPr>
              <w:t xml:space="preserve"> roots of perfect </w:t>
            </w:r>
            <w:r w:rsidRPr="00CB1CAA">
              <w:t>square</w:t>
            </w:r>
            <w:r w:rsidRPr="00CB1CAA">
              <w:rPr>
                <w:rFonts w:cs="Arial"/>
                <w:color w:val="333333"/>
              </w:rPr>
              <w:t xml:space="preserve"> numbers</w:t>
            </w:r>
          </w:p>
        </w:tc>
        <w:tc>
          <w:tcPr>
            <w:tcW w:w="7375" w:type="dxa"/>
            <w:shd w:val="clear" w:color="auto" w:fill="FFFFFF" w:themeFill="background1"/>
          </w:tcPr>
          <w:p w:rsidR="00692FED" w:rsidRPr="00F11898" w:rsidRDefault="00692FED" w:rsidP="00692FED">
            <w:pPr>
              <w:pStyle w:val="NoSpacing"/>
              <w:numPr>
                <w:ilvl w:val="0"/>
                <w:numId w:val="1"/>
              </w:numPr>
              <w:ind w:left="317" w:hanging="284"/>
              <w:rPr>
                <w:lang w:eastAsia="en-AU"/>
              </w:rPr>
            </w:pPr>
            <w:r w:rsidRPr="00CB1CAA">
              <w:rPr>
                <w:lang w:eastAsia="en-AU"/>
              </w:rPr>
              <w:t>investigating square numbers such as</w:t>
            </w:r>
            <w:r>
              <w:rPr>
                <w:lang w:eastAsia="en-AU"/>
              </w:rPr>
              <w:t xml:space="preserve"> 25 and 36 and developing square</w:t>
            </w:r>
            <w:r w:rsidRPr="00CB1CAA">
              <w:rPr>
                <w:lang w:eastAsia="en-AU"/>
              </w:rPr>
              <w:t>-</w:t>
            </w:r>
            <w:proofErr w:type="spellStart"/>
            <w:r w:rsidRPr="00CB1CAA">
              <w:rPr>
                <w:lang w:eastAsia="en-AU"/>
              </w:rPr>
              <w:t>root</w:t>
            </w:r>
            <w:proofErr w:type="spellEnd"/>
            <w:r w:rsidRPr="00CB1CAA">
              <w:rPr>
                <w:lang w:eastAsia="en-AU"/>
              </w:rPr>
              <w:t xml:space="preserve"> notation</w:t>
            </w:r>
          </w:p>
        </w:tc>
      </w:tr>
      <w:tr w:rsidR="00692FED" w:rsidRPr="00A33E5D" w:rsidTr="003600EC">
        <w:tc>
          <w:tcPr>
            <w:tcW w:w="3398" w:type="dxa"/>
            <w:vMerge/>
            <w:shd w:val="clear" w:color="auto" w:fill="FFFFFF" w:themeFill="background1"/>
          </w:tcPr>
          <w:p w:rsidR="00692FED" w:rsidRPr="00CB1CAA" w:rsidRDefault="00692FED" w:rsidP="00BB23D0">
            <w:pPr>
              <w:rPr>
                <w:rFonts w:cs="Arial"/>
                <w:color w:val="333333"/>
              </w:rPr>
            </w:pPr>
          </w:p>
        </w:tc>
        <w:tc>
          <w:tcPr>
            <w:tcW w:w="7375" w:type="dxa"/>
            <w:shd w:val="clear" w:color="auto" w:fill="FFFFFF" w:themeFill="background1"/>
          </w:tcPr>
          <w:p w:rsidR="00692FED" w:rsidRPr="007825F8" w:rsidRDefault="00692FED" w:rsidP="00692FED">
            <w:pPr>
              <w:pStyle w:val="NoSpacing"/>
              <w:numPr>
                <w:ilvl w:val="0"/>
                <w:numId w:val="1"/>
              </w:numPr>
              <w:ind w:left="317" w:hanging="284"/>
              <w:rPr>
                <w:lang w:eastAsia="en-AU"/>
              </w:rPr>
            </w:pPr>
            <w:r w:rsidRPr="007825F8">
              <w:rPr>
                <w:lang w:eastAsia="en-AU"/>
              </w:rPr>
              <w:t>investigating between which two whole numbers a square root lies</w:t>
            </w:r>
          </w:p>
        </w:tc>
      </w:tr>
      <w:tr w:rsidR="00692FED" w:rsidRPr="00A33E5D" w:rsidTr="003600EC">
        <w:tc>
          <w:tcPr>
            <w:tcW w:w="3398" w:type="dxa"/>
            <w:shd w:val="clear" w:color="auto" w:fill="FFFFFF" w:themeFill="background1"/>
          </w:tcPr>
          <w:p w:rsidR="00692FED" w:rsidRPr="00CB1CAA" w:rsidRDefault="00692FED" w:rsidP="00BB23D0">
            <w:pPr>
              <w:rPr>
                <w:rFonts w:cs="Arial"/>
                <w:color w:val="333333"/>
              </w:rPr>
            </w:pPr>
            <w:r w:rsidRPr="0046464B">
              <w:rPr>
                <w:rFonts w:cs="Arial"/>
                <w:color w:val="333333"/>
              </w:rPr>
              <w:t xml:space="preserve">Apply the </w:t>
            </w:r>
            <w:r w:rsidRPr="0046464B">
              <w:t>associative</w:t>
            </w:r>
            <w:r w:rsidRPr="0046464B">
              <w:rPr>
                <w:rFonts w:cs="Arial"/>
                <w:color w:val="333333"/>
              </w:rPr>
              <w:t xml:space="preserve">, </w:t>
            </w:r>
            <w:r w:rsidRPr="0046464B">
              <w:t>commutative</w:t>
            </w:r>
            <w:r w:rsidRPr="0046464B">
              <w:rPr>
                <w:rFonts w:cs="Arial"/>
                <w:color w:val="333333"/>
              </w:rPr>
              <w:t xml:space="preserve"> and </w:t>
            </w:r>
            <w:r w:rsidRPr="0046464B">
              <w:t xml:space="preserve">distributive </w:t>
            </w:r>
            <w:r w:rsidRPr="0046464B">
              <w:rPr>
                <w:rFonts w:cs="Arial"/>
                <w:color w:val="333333"/>
              </w:rPr>
              <w:t>laws to aid</w:t>
            </w:r>
            <w:r>
              <w:rPr>
                <w:rFonts w:cs="Arial"/>
                <w:color w:val="333333"/>
              </w:rPr>
              <w:t xml:space="preserve"> mental and written computation</w:t>
            </w:r>
          </w:p>
        </w:tc>
        <w:tc>
          <w:tcPr>
            <w:tcW w:w="7375" w:type="dxa"/>
            <w:shd w:val="clear" w:color="auto" w:fill="FFFFFF" w:themeFill="background1"/>
          </w:tcPr>
          <w:p w:rsidR="00692FED" w:rsidRPr="00856C48" w:rsidRDefault="00692FED" w:rsidP="00692FED">
            <w:pPr>
              <w:pStyle w:val="NoSpacing"/>
              <w:numPr>
                <w:ilvl w:val="0"/>
                <w:numId w:val="1"/>
              </w:numPr>
              <w:ind w:left="317" w:hanging="284"/>
              <w:rPr>
                <w:color w:val="535353"/>
              </w:rPr>
            </w:pPr>
            <w:r w:rsidRPr="0046464B">
              <w:rPr>
                <w:lang w:eastAsia="en-AU"/>
              </w:rPr>
              <w:t>understanding that arithmetic laws are powerful ways of describing and simplifying calculations</w:t>
            </w:r>
          </w:p>
        </w:tc>
      </w:tr>
    </w:tbl>
    <w:p w:rsidR="00692FED" w:rsidRDefault="00692FED" w:rsidP="00692FED"/>
    <w:tbl>
      <w:tblPr>
        <w:tblStyle w:val="TableGrid"/>
        <w:tblW w:w="10740" w:type="dxa"/>
        <w:tblLayout w:type="fixed"/>
        <w:tblLook w:val="04A0" w:firstRow="1" w:lastRow="0" w:firstColumn="1" w:lastColumn="0" w:noHBand="0" w:noVBand="1"/>
      </w:tblPr>
      <w:tblGrid>
        <w:gridCol w:w="916"/>
        <w:gridCol w:w="4912"/>
        <w:gridCol w:w="4912"/>
      </w:tblGrid>
      <w:tr w:rsidR="00692FED" w:rsidRPr="008E538A" w:rsidTr="00BB23D0">
        <w:tc>
          <w:tcPr>
            <w:tcW w:w="916" w:type="dxa"/>
            <w:shd w:val="clear" w:color="auto" w:fill="000000" w:themeFill="text1"/>
          </w:tcPr>
          <w:p w:rsidR="00692FED" w:rsidRPr="008E538A" w:rsidRDefault="00692FED" w:rsidP="00BB23D0">
            <w:pPr>
              <w:jc w:val="center"/>
              <w:rPr>
                <w:b/>
              </w:rPr>
            </w:pPr>
            <w:r>
              <w:rPr>
                <w:b/>
              </w:rPr>
              <w:t>Lesson</w:t>
            </w:r>
          </w:p>
        </w:tc>
        <w:tc>
          <w:tcPr>
            <w:tcW w:w="4912" w:type="dxa"/>
            <w:shd w:val="clear" w:color="auto" w:fill="000000" w:themeFill="text1"/>
          </w:tcPr>
          <w:p w:rsidR="00692FED" w:rsidRPr="008E538A" w:rsidRDefault="00692FED" w:rsidP="00BB23D0">
            <w:pPr>
              <w:jc w:val="center"/>
              <w:rPr>
                <w:b/>
              </w:rPr>
            </w:pPr>
            <w:r w:rsidRPr="008E538A">
              <w:rPr>
                <w:b/>
              </w:rPr>
              <w:t>Learning Intention</w:t>
            </w:r>
          </w:p>
        </w:tc>
        <w:tc>
          <w:tcPr>
            <w:tcW w:w="4912" w:type="dxa"/>
            <w:shd w:val="clear" w:color="auto" w:fill="000000" w:themeFill="text1"/>
          </w:tcPr>
          <w:p w:rsidR="00692FED" w:rsidRPr="008E538A" w:rsidRDefault="00692FED" w:rsidP="00BB23D0">
            <w:pPr>
              <w:jc w:val="center"/>
              <w:rPr>
                <w:b/>
              </w:rPr>
            </w:pPr>
            <w:r w:rsidRPr="008E538A">
              <w:rPr>
                <w:b/>
              </w:rPr>
              <w:t>Activities</w:t>
            </w:r>
          </w:p>
        </w:tc>
      </w:tr>
      <w:tr w:rsidR="00692FED" w:rsidTr="00BB23D0">
        <w:tc>
          <w:tcPr>
            <w:tcW w:w="916" w:type="dxa"/>
            <w:vMerge w:val="restart"/>
            <w:vAlign w:val="center"/>
          </w:tcPr>
          <w:p w:rsidR="00692FED" w:rsidRPr="00F50F35" w:rsidRDefault="00692FED" w:rsidP="00BB23D0">
            <w:pPr>
              <w:jc w:val="center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1</w:t>
            </w:r>
          </w:p>
        </w:tc>
        <w:tc>
          <w:tcPr>
            <w:tcW w:w="4912" w:type="dxa"/>
            <w:vAlign w:val="center"/>
          </w:tcPr>
          <w:p w:rsidR="00692FED" w:rsidRPr="00F50F35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 w:rsidRPr="009D3CA3">
              <w:rPr>
                <w:rFonts w:cs="Arial"/>
                <w:color w:val="333333"/>
              </w:rPr>
              <w:t>Numbers can be arranged into rectangular arrays.</w:t>
            </w:r>
          </w:p>
        </w:tc>
        <w:tc>
          <w:tcPr>
            <w:tcW w:w="4912" w:type="dxa"/>
          </w:tcPr>
          <w:p w:rsidR="00692FED" w:rsidRPr="006D398A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 w:rsidRPr="006D398A">
              <w:rPr>
                <w:rFonts w:cs="Arial"/>
                <w:color w:val="333333"/>
              </w:rPr>
              <w:t>Activity 1: Rectangular Numbers Introduction</w:t>
            </w:r>
          </w:p>
        </w:tc>
      </w:tr>
      <w:tr w:rsidR="00692FED" w:rsidTr="00BB23D0">
        <w:tc>
          <w:tcPr>
            <w:tcW w:w="916" w:type="dxa"/>
            <w:vMerge/>
          </w:tcPr>
          <w:p w:rsidR="00692FED" w:rsidRDefault="00692FED" w:rsidP="00BB23D0">
            <w:pPr>
              <w:rPr>
                <w:rFonts w:cs="Arial"/>
                <w:color w:val="333333"/>
              </w:rPr>
            </w:pPr>
          </w:p>
        </w:tc>
        <w:tc>
          <w:tcPr>
            <w:tcW w:w="4912" w:type="dxa"/>
            <w:vAlign w:val="center"/>
          </w:tcPr>
          <w:p w:rsidR="00692FED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</w:pPr>
            <w:r>
              <w:t>Making easy numbers</w:t>
            </w:r>
          </w:p>
          <w:p w:rsidR="00692FED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</w:pPr>
            <w:r>
              <w:t>The commutative  and associative laws</w:t>
            </w:r>
          </w:p>
          <w:p w:rsidR="00692FED" w:rsidRPr="009D3CA3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t>The commutative law works for multiplication and addition but not for division and subtraction</w:t>
            </w:r>
          </w:p>
        </w:tc>
        <w:tc>
          <w:tcPr>
            <w:tcW w:w="4912" w:type="dxa"/>
          </w:tcPr>
          <w:p w:rsidR="00692FED" w:rsidRPr="006D398A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 w:rsidRPr="00224492">
              <w:rPr>
                <w:rFonts w:cs="Arial"/>
                <w:color w:val="333333"/>
              </w:rPr>
              <w:t>Exercise 1.1</w:t>
            </w:r>
            <w:r>
              <w:rPr>
                <w:rFonts w:cs="Arial"/>
                <w:color w:val="333333"/>
              </w:rPr>
              <w:t xml:space="preserve"> (selected questions)</w:t>
            </w:r>
          </w:p>
        </w:tc>
      </w:tr>
      <w:tr w:rsidR="00692FED" w:rsidTr="00BB23D0">
        <w:tc>
          <w:tcPr>
            <w:tcW w:w="916" w:type="dxa"/>
            <w:vMerge w:val="restart"/>
            <w:vAlign w:val="center"/>
          </w:tcPr>
          <w:p w:rsidR="00692FED" w:rsidRDefault="00692FED" w:rsidP="00BB23D0">
            <w:pPr>
              <w:jc w:val="center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2</w:t>
            </w:r>
          </w:p>
        </w:tc>
        <w:tc>
          <w:tcPr>
            <w:tcW w:w="4912" w:type="dxa"/>
            <w:vAlign w:val="center"/>
          </w:tcPr>
          <w:p w:rsidR="00692FED" w:rsidRPr="00F50F35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 w:rsidRPr="009D3CA3">
              <w:rPr>
                <w:rFonts w:cs="Arial"/>
                <w:color w:val="333333"/>
              </w:rPr>
              <w:t>Numbers can be arranged into rectangular arrays.</w:t>
            </w:r>
          </w:p>
        </w:tc>
        <w:tc>
          <w:tcPr>
            <w:tcW w:w="4912" w:type="dxa"/>
          </w:tcPr>
          <w:p w:rsidR="00692FED" w:rsidRPr="006D398A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 w:rsidRPr="006D398A">
              <w:rPr>
                <w:rFonts w:cs="Arial"/>
                <w:color w:val="333333"/>
              </w:rPr>
              <w:t>Activity 1: Rectangular Numbers cont.</w:t>
            </w:r>
          </w:p>
        </w:tc>
      </w:tr>
      <w:tr w:rsidR="00692FED" w:rsidTr="00BB23D0">
        <w:tc>
          <w:tcPr>
            <w:tcW w:w="916" w:type="dxa"/>
            <w:vMerge/>
            <w:vAlign w:val="center"/>
          </w:tcPr>
          <w:p w:rsidR="00692FED" w:rsidRDefault="00692FED" w:rsidP="00BB23D0">
            <w:pPr>
              <w:jc w:val="center"/>
              <w:rPr>
                <w:rFonts w:cs="Arial"/>
                <w:color w:val="333333"/>
              </w:rPr>
            </w:pPr>
          </w:p>
        </w:tc>
        <w:tc>
          <w:tcPr>
            <w:tcW w:w="4912" w:type="dxa"/>
            <w:vAlign w:val="center"/>
          </w:tcPr>
          <w:p w:rsidR="00692FED" w:rsidRPr="00F50F35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</w:pPr>
            <w:r>
              <w:t>The distributive law</w:t>
            </w:r>
          </w:p>
        </w:tc>
        <w:tc>
          <w:tcPr>
            <w:tcW w:w="4912" w:type="dxa"/>
          </w:tcPr>
          <w:p w:rsidR="00692FED" w:rsidRPr="006D398A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 w:rsidRPr="00224492">
              <w:rPr>
                <w:rFonts w:cs="Arial"/>
                <w:color w:val="333333"/>
              </w:rPr>
              <w:t>Exercise 1.1</w:t>
            </w:r>
            <w:r>
              <w:rPr>
                <w:rFonts w:cs="Arial"/>
                <w:color w:val="333333"/>
              </w:rPr>
              <w:t xml:space="preserve"> (selected questions)</w:t>
            </w:r>
          </w:p>
        </w:tc>
      </w:tr>
      <w:tr w:rsidR="00692FED" w:rsidTr="00BB23D0">
        <w:tc>
          <w:tcPr>
            <w:tcW w:w="916" w:type="dxa"/>
            <w:vMerge w:val="restart"/>
            <w:vAlign w:val="center"/>
          </w:tcPr>
          <w:p w:rsidR="00692FED" w:rsidRPr="00F50F35" w:rsidRDefault="00692FED" w:rsidP="00BB23D0">
            <w:pPr>
              <w:jc w:val="center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3</w:t>
            </w:r>
          </w:p>
        </w:tc>
        <w:tc>
          <w:tcPr>
            <w:tcW w:w="4912" w:type="dxa"/>
            <w:vAlign w:val="center"/>
          </w:tcPr>
          <w:p w:rsidR="00692FED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 w:rsidRPr="0079500F">
              <w:rPr>
                <w:rFonts w:cs="Arial"/>
                <w:color w:val="333333"/>
              </w:rPr>
              <w:t>Some rectangles can be arranged in squares</w:t>
            </w:r>
            <w:r>
              <w:rPr>
                <w:rFonts w:cs="Arial"/>
                <w:color w:val="333333"/>
              </w:rPr>
              <w:t>.</w:t>
            </w:r>
          </w:p>
          <w:p w:rsidR="00692FED" w:rsidRPr="0079500F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Square roots and square root notation.</w:t>
            </w:r>
          </w:p>
        </w:tc>
        <w:tc>
          <w:tcPr>
            <w:tcW w:w="4912" w:type="dxa"/>
          </w:tcPr>
          <w:p w:rsidR="00692FED" w:rsidRPr="006D398A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 w:rsidRPr="006D398A">
              <w:rPr>
                <w:rFonts w:cs="Arial"/>
                <w:color w:val="333333"/>
              </w:rPr>
              <w:t>Activity 2: Square Numbers</w:t>
            </w:r>
          </w:p>
        </w:tc>
      </w:tr>
      <w:tr w:rsidR="00692FED" w:rsidTr="00BB23D0">
        <w:tc>
          <w:tcPr>
            <w:tcW w:w="916" w:type="dxa"/>
            <w:vMerge/>
            <w:vAlign w:val="center"/>
          </w:tcPr>
          <w:p w:rsidR="00692FED" w:rsidRDefault="00692FED" w:rsidP="00BB23D0">
            <w:pPr>
              <w:jc w:val="center"/>
              <w:rPr>
                <w:rFonts w:cs="Arial"/>
                <w:color w:val="333333"/>
              </w:rPr>
            </w:pPr>
          </w:p>
        </w:tc>
        <w:tc>
          <w:tcPr>
            <w:tcW w:w="4912" w:type="dxa"/>
          </w:tcPr>
          <w:p w:rsidR="00692FED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</w:pPr>
            <w:r>
              <w:t>Work in stages to break down multiplications and divisions into simpler steps</w:t>
            </w:r>
          </w:p>
        </w:tc>
        <w:tc>
          <w:tcPr>
            <w:tcW w:w="4912" w:type="dxa"/>
          </w:tcPr>
          <w:p w:rsidR="00692FED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Exercise 1.3 Question 1`</w:t>
            </w:r>
          </w:p>
        </w:tc>
      </w:tr>
      <w:tr w:rsidR="00692FED" w:rsidTr="00BB23D0">
        <w:tc>
          <w:tcPr>
            <w:tcW w:w="916" w:type="dxa"/>
            <w:vAlign w:val="center"/>
          </w:tcPr>
          <w:p w:rsidR="00692FED" w:rsidRPr="00F50F35" w:rsidRDefault="00692FED" w:rsidP="00BB23D0">
            <w:pPr>
              <w:jc w:val="center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4</w:t>
            </w:r>
          </w:p>
        </w:tc>
        <w:tc>
          <w:tcPr>
            <w:tcW w:w="4912" w:type="dxa"/>
            <w:vAlign w:val="center"/>
          </w:tcPr>
          <w:p w:rsidR="00692FED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 w:rsidRPr="00447440">
              <w:rPr>
                <w:rFonts w:cs="Arial"/>
                <w:color w:val="333333"/>
              </w:rPr>
              <w:t>Some numbers can be arran</w:t>
            </w:r>
            <w:r>
              <w:rPr>
                <w:rFonts w:cs="Arial"/>
                <w:color w:val="333333"/>
              </w:rPr>
              <w:t>g</w:t>
            </w:r>
            <w:r w:rsidRPr="00447440">
              <w:rPr>
                <w:rFonts w:cs="Arial"/>
                <w:color w:val="333333"/>
              </w:rPr>
              <w:t>ed into cubes</w:t>
            </w:r>
          </w:p>
          <w:p w:rsidR="00692FED" w:rsidRPr="00447440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Cube roots and cube root notation.</w:t>
            </w:r>
          </w:p>
        </w:tc>
        <w:tc>
          <w:tcPr>
            <w:tcW w:w="4912" w:type="dxa"/>
          </w:tcPr>
          <w:p w:rsidR="00692FED" w:rsidRPr="006D398A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 xml:space="preserve">Activity 3: </w:t>
            </w:r>
            <w:r w:rsidRPr="006D398A">
              <w:rPr>
                <w:rFonts w:cs="Arial"/>
                <w:color w:val="333333"/>
              </w:rPr>
              <w:t>Cube Numbers</w:t>
            </w:r>
          </w:p>
        </w:tc>
      </w:tr>
      <w:tr w:rsidR="00692FED" w:rsidTr="00BB23D0">
        <w:tc>
          <w:tcPr>
            <w:tcW w:w="916" w:type="dxa"/>
            <w:vMerge w:val="restart"/>
            <w:vAlign w:val="center"/>
          </w:tcPr>
          <w:p w:rsidR="00692FED" w:rsidRPr="00F50F35" w:rsidRDefault="00692FED" w:rsidP="00BB23D0">
            <w:pPr>
              <w:jc w:val="center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5</w:t>
            </w:r>
          </w:p>
        </w:tc>
        <w:tc>
          <w:tcPr>
            <w:tcW w:w="4912" w:type="dxa"/>
            <w:vAlign w:val="center"/>
          </w:tcPr>
          <w:p w:rsidR="00692FED" w:rsidRPr="0019198D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 w:rsidRPr="0019198D">
              <w:rPr>
                <w:rFonts w:cs="Arial"/>
                <w:color w:val="333333"/>
              </w:rPr>
              <w:t>Writing numbers using index notation</w:t>
            </w:r>
            <w:r>
              <w:rPr>
                <w:rFonts w:cs="Arial"/>
                <w:color w:val="333333"/>
              </w:rPr>
              <w:t>.</w:t>
            </w:r>
          </w:p>
        </w:tc>
        <w:tc>
          <w:tcPr>
            <w:tcW w:w="4912" w:type="dxa"/>
          </w:tcPr>
          <w:p w:rsidR="00692FED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 w:rsidRPr="009D3CA3">
              <w:rPr>
                <w:rFonts w:cs="Arial"/>
                <w:color w:val="333333"/>
              </w:rPr>
              <w:t>Exercise 1.2</w:t>
            </w:r>
            <w:r>
              <w:rPr>
                <w:rFonts w:cs="Arial"/>
                <w:color w:val="333333"/>
              </w:rPr>
              <w:t xml:space="preserve"> (selected questions)</w:t>
            </w:r>
          </w:p>
          <w:p w:rsidR="00692FED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</w:pPr>
            <w:r>
              <w:rPr>
                <w:rFonts w:cs="Arial"/>
                <w:color w:val="333333"/>
              </w:rPr>
              <w:t>Teacher’s Age (page 19)</w:t>
            </w:r>
          </w:p>
        </w:tc>
      </w:tr>
      <w:tr w:rsidR="00692FED" w:rsidTr="00BB23D0">
        <w:tc>
          <w:tcPr>
            <w:tcW w:w="916" w:type="dxa"/>
            <w:vMerge/>
            <w:vAlign w:val="center"/>
          </w:tcPr>
          <w:p w:rsidR="00692FED" w:rsidRDefault="00692FED" w:rsidP="00BB23D0">
            <w:pPr>
              <w:jc w:val="center"/>
              <w:rPr>
                <w:rFonts w:cs="Arial"/>
                <w:color w:val="333333"/>
              </w:rPr>
            </w:pPr>
          </w:p>
        </w:tc>
        <w:tc>
          <w:tcPr>
            <w:tcW w:w="4912" w:type="dxa"/>
            <w:vAlign w:val="center"/>
          </w:tcPr>
          <w:p w:rsidR="00692FED" w:rsidRPr="001B77B4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Solving a problem by looking for a pattern</w:t>
            </w:r>
          </w:p>
        </w:tc>
        <w:tc>
          <w:tcPr>
            <w:tcW w:w="4912" w:type="dxa"/>
          </w:tcPr>
          <w:p w:rsidR="00692FED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Squares on a chessboard (page 20)</w:t>
            </w:r>
          </w:p>
        </w:tc>
      </w:tr>
      <w:tr w:rsidR="00692FED" w:rsidTr="00BB23D0">
        <w:tc>
          <w:tcPr>
            <w:tcW w:w="916" w:type="dxa"/>
            <w:vMerge w:val="restart"/>
            <w:vAlign w:val="center"/>
          </w:tcPr>
          <w:p w:rsidR="00692FED" w:rsidRPr="00F50F35" w:rsidRDefault="00692FED" w:rsidP="00BB23D0">
            <w:pPr>
              <w:jc w:val="center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6</w:t>
            </w:r>
          </w:p>
        </w:tc>
        <w:tc>
          <w:tcPr>
            <w:tcW w:w="4912" w:type="dxa"/>
            <w:vAlign w:val="center"/>
          </w:tcPr>
          <w:p w:rsidR="00692FED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 w:rsidRPr="001B77B4">
              <w:rPr>
                <w:rFonts w:cs="Arial"/>
                <w:color w:val="333333"/>
              </w:rPr>
              <w:t xml:space="preserve">Some numbers can only be arranged into one type of </w:t>
            </w:r>
            <w:r>
              <w:rPr>
                <w:rFonts w:cs="Arial"/>
                <w:color w:val="333333"/>
              </w:rPr>
              <w:t>rectangle.</w:t>
            </w:r>
          </w:p>
          <w:p w:rsidR="00692FED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Prime numbers are numbers that can only be arranged into one type of rectangle</w:t>
            </w:r>
          </w:p>
          <w:p w:rsidR="00692FED" w:rsidRPr="001B77B4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Composite numbers are numbers that can be arranged into more than one type of rectangle</w:t>
            </w:r>
          </w:p>
        </w:tc>
        <w:tc>
          <w:tcPr>
            <w:tcW w:w="4912" w:type="dxa"/>
          </w:tcPr>
          <w:p w:rsidR="00692FED" w:rsidRPr="00F775AC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 xml:space="preserve">Activity 4: </w:t>
            </w:r>
            <w:r w:rsidRPr="007825F8">
              <w:rPr>
                <w:rFonts w:cs="Arial"/>
                <w:color w:val="333333"/>
              </w:rPr>
              <w:t>Primes &amp; Composites</w:t>
            </w:r>
          </w:p>
          <w:p w:rsidR="00692FED" w:rsidRDefault="00692FED" w:rsidP="00BB23D0"/>
        </w:tc>
      </w:tr>
      <w:tr w:rsidR="00692FED" w:rsidTr="00BB23D0">
        <w:tc>
          <w:tcPr>
            <w:tcW w:w="916" w:type="dxa"/>
            <w:vMerge/>
            <w:vAlign w:val="center"/>
          </w:tcPr>
          <w:p w:rsidR="00692FED" w:rsidRDefault="00692FED" w:rsidP="00BB23D0">
            <w:pPr>
              <w:jc w:val="center"/>
              <w:rPr>
                <w:rFonts w:cs="Arial"/>
                <w:color w:val="333333"/>
              </w:rPr>
            </w:pPr>
          </w:p>
        </w:tc>
        <w:tc>
          <w:tcPr>
            <w:tcW w:w="4912" w:type="dxa"/>
            <w:vAlign w:val="center"/>
          </w:tcPr>
          <w:p w:rsidR="00692FED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</w:pPr>
            <w:r>
              <w:t>Use an array to split numbers into 10s and 1s</w:t>
            </w:r>
          </w:p>
          <w:p w:rsidR="00692FED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</w:pPr>
            <w:r>
              <w:t>Multiplying by multiples of 10</w:t>
            </w:r>
          </w:p>
          <w:p w:rsidR="00692FED" w:rsidRPr="001B77B4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t>Dividing by multiples of 10</w:t>
            </w:r>
          </w:p>
        </w:tc>
        <w:tc>
          <w:tcPr>
            <w:tcW w:w="4912" w:type="dxa"/>
          </w:tcPr>
          <w:p w:rsidR="00692FED" w:rsidRPr="00F775AC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Exercise 1.3 (selected questions)</w:t>
            </w:r>
          </w:p>
        </w:tc>
      </w:tr>
      <w:tr w:rsidR="00692FED" w:rsidTr="00BB23D0">
        <w:tc>
          <w:tcPr>
            <w:tcW w:w="916" w:type="dxa"/>
            <w:vAlign w:val="center"/>
          </w:tcPr>
          <w:p w:rsidR="00692FED" w:rsidRDefault="00692FED" w:rsidP="00BB23D0">
            <w:pPr>
              <w:jc w:val="center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7</w:t>
            </w:r>
          </w:p>
        </w:tc>
        <w:tc>
          <w:tcPr>
            <w:tcW w:w="4912" w:type="dxa"/>
            <w:vAlign w:val="center"/>
          </w:tcPr>
          <w:p w:rsidR="00692FED" w:rsidRPr="001B77B4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t>Using easier numbers by rounding</w:t>
            </w:r>
          </w:p>
        </w:tc>
        <w:tc>
          <w:tcPr>
            <w:tcW w:w="4912" w:type="dxa"/>
          </w:tcPr>
          <w:p w:rsidR="00692FED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Exercise 1.4 (questions 1 to 3)</w:t>
            </w:r>
          </w:p>
          <w:p w:rsidR="00692FED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Estimation frustration (page 35)</w:t>
            </w:r>
          </w:p>
        </w:tc>
      </w:tr>
      <w:tr w:rsidR="00692FED" w:rsidTr="00BB23D0">
        <w:tc>
          <w:tcPr>
            <w:tcW w:w="916" w:type="dxa"/>
            <w:vMerge w:val="restart"/>
            <w:vAlign w:val="center"/>
          </w:tcPr>
          <w:p w:rsidR="00692FED" w:rsidRDefault="00692FED" w:rsidP="00BB23D0">
            <w:pPr>
              <w:jc w:val="center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8</w:t>
            </w:r>
          </w:p>
        </w:tc>
        <w:tc>
          <w:tcPr>
            <w:tcW w:w="4912" w:type="dxa"/>
            <w:vAlign w:val="center"/>
          </w:tcPr>
          <w:p w:rsidR="00692FED" w:rsidRPr="001B77B4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Solving a problem by looking for a pattern</w:t>
            </w:r>
          </w:p>
        </w:tc>
        <w:tc>
          <w:tcPr>
            <w:tcW w:w="4912" w:type="dxa"/>
          </w:tcPr>
          <w:p w:rsidR="00692FED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Exercise 1.4 Question 10</w:t>
            </w:r>
          </w:p>
        </w:tc>
      </w:tr>
      <w:tr w:rsidR="00692FED" w:rsidTr="00BB23D0">
        <w:tc>
          <w:tcPr>
            <w:tcW w:w="916" w:type="dxa"/>
            <w:vMerge/>
            <w:vAlign w:val="center"/>
          </w:tcPr>
          <w:p w:rsidR="00692FED" w:rsidRDefault="00692FED" w:rsidP="00BB23D0">
            <w:pPr>
              <w:jc w:val="center"/>
              <w:rPr>
                <w:rFonts w:cs="Arial"/>
                <w:color w:val="333333"/>
              </w:rPr>
            </w:pPr>
          </w:p>
        </w:tc>
        <w:tc>
          <w:tcPr>
            <w:tcW w:w="4912" w:type="dxa"/>
            <w:vAlign w:val="center"/>
          </w:tcPr>
          <w:p w:rsidR="00692FED" w:rsidRPr="001B77B4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t>Using easier numbers to estimate</w:t>
            </w:r>
          </w:p>
        </w:tc>
        <w:tc>
          <w:tcPr>
            <w:tcW w:w="4912" w:type="dxa"/>
          </w:tcPr>
          <w:p w:rsidR="00692FED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Estimation frustration (page 35)</w:t>
            </w:r>
          </w:p>
          <w:p w:rsidR="00692FED" w:rsidRPr="006D5E14" w:rsidRDefault="00692FED" w:rsidP="00692FED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Exercise 1.4  (questions 4 onwards)</w:t>
            </w:r>
          </w:p>
        </w:tc>
      </w:tr>
    </w:tbl>
    <w:p w:rsidR="00692FED" w:rsidRDefault="00692FED" w:rsidP="00692FED"/>
    <w:p w:rsidR="00692FED" w:rsidRPr="00217BC2" w:rsidRDefault="00692FED" w:rsidP="00692FED">
      <w:r w:rsidRPr="00217BC2">
        <w:rPr>
          <w:b/>
        </w:rPr>
        <w:t>Warm up activities:</w:t>
      </w:r>
      <w:r>
        <w:rPr>
          <w:b/>
        </w:rPr>
        <w:t xml:space="preserve"> </w:t>
      </w:r>
      <w:r w:rsidRPr="00217BC2">
        <w:t>Rectangles, Times-Table Bingo</w:t>
      </w:r>
    </w:p>
    <w:p w:rsidR="00190538" w:rsidRDefault="00190538"/>
    <w:sectPr w:rsidR="00190538" w:rsidSect="003C151E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E5D" w:rsidRPr="00A33E5D" w:rsidRDefault="003600EC">
    <w:pPr>
      <w:pStyle w:val="Header"/>
      <w:rPr>
        <w:b/>
      </w:rPr>
    </w:pPr>
    <w:r>
      <w:rPr>
        <w:b/>
      </w:rPr>
      <w:t>Topic Outline</w:t>
    </w:r>
    <w:r w:rsidRPr="00A33E5D">
      <w:rPr>
        <w:b/>
      </w:rPr>
      <w:tab/>
    </w:r>
  </w:p>
  <w:p w:rsidR="00A33E5D" w:rsidRDefault="003600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60106"/>
    <w:multiLevelType w:val="hybridMultilevel"/>
    <w:tmpl w:val="5A3402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FED"/>
    <w:rsid w:val="00190538"/>
    <w:rsid w:val="003600EC"/>
    <w:rsid w:val="0069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FED"/>
    <w:pPr>
      <w:spacing w:after="0" w:line="240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FE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92F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2FED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692FED"/>
    <w:pPr>
      <w:ind w:left="720"/>
      <w:contextualSpacing/>
    </w:pPr>
  </w:style>
  <w:style w:type="paragraph" w:styleId="NoSpacing">
    <w:name w:val="No Spacing"/>
    <w:uiPriority w:val="1"/>
    <w:qFormat/>
    <w:rsid w:val="00692FED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FED"/>
    <w:pPr>
      <w:spacing w:after="0" w:line="240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FE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92F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2FED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692FED"/>
    <w:pPr>
      <w:ind w:left="720"/>
      <w:contextualSpacing/>
    </w:pPr>
  </w:style>
  <w:style w:type="paragraph" w:styleId="NoSpacing">
    <w:name w:val="No Spacing"/>
    <w:uiPriority w:val="1"/>
    <w:qFormat/>
    <w:rsid w:val="00692FE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2</cp:revision>
  <dcterms:created xsi:type="dcterms:W3CDTF">2015-12-16T00:52:00Z</dcterms:created>
  <dcterms:modified xsi:type="dcterms:W3CDTF">2015-12-16T00:56:00Z</dcterms:modified>
</cp:coreProperties>
</file>